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07C22" w14:textId="77777777" w:rsidR="00672858" w:rsidRPr="005514FC" w:rsidRDefault="00672858" w:rsidP="00672858">
      <w:pPr>
        <w:ind w:left="5032" w:right="4575"/>
        <w:rPr>
          <w:rFonts w:ascii="Times New Roman" w:hAnsi="Times New Roman" w:cs="Times New Roman"/>
          <w:b/>
          <w:color w:val="0D0D0D" w:themeColor="text1" w:themeTint="F2"/>
          <w:sz w:val="24"/>
          <w:szCs w:val="24"/>
        </w:rPr>
      </w:pPr>
    </w:p>
    <w:p w14:paraId="3126F9B2" w14:textId="77777777" w:rsidR="00672858" w:rsidRPr="005514FC" w:rsidRDefault="00672858" w:rsidP="00672858">
      <w:pPr>
        <w:ind w:left="5032" w:right="4575"/>
        <w:rPr>
          <w:rFonts w:ascii="Times New Roman" w:hAnsi="Times New Roman" w:cs="Times New Roman"/>
          <w:b/>
          <w:color w:val="0D0D0D" w:themeColor="text1" w:themeTint="F2"/>
          <w:sz w:val="24"/>
          <w:szCs w:val="24"/>
        </w:rPr>
      </w:pPr>
    </w:p>
    <w:p w14:paraId="3F45F73C" w14:textId="77777777" w:rsidR="00672858" w:rsidRPr="005514FC" w:rsidRDefault="00672858" w:rsidP="00672858">
      <w:pPr>
        <w:ind w:left="5032" w:right="4575"/>
        <w:rPr>
          <w:rFonts w:ascii="Times New Roman" w:hAnsi="Times New Roman" w:cs="Times New Roman"/>
          <w:b/>
          <w:color w:val="0D0D0D" w:themeColor="text1" w:themeTint="F2"/>
          <w:sz w:val="24"/>
          <w:szCs w:val="24"/>
        </w:rPr>
      </w:pPr>
    </w:p>
    <w:p w14:paraId="63EB8507" w14:textId="77777777" w:rsidR="00672858" w:rsidRPr="005514FC" w:rsidRDefault="00672858" w:rsidP="00672858">
      <w:pPr>
        <w:ind w:left="5032" w:right="4575"/>
        <w:rPr>
          <w:rFonts w:ascii="Times New Roman" w:hAnsi="Times New Roman" w:cs="Times New Roman"/>
          <w:b/>
          <w:color w:val="0D0D0D" w:themeColor="text1" w:themeTint="F2"/>
          <w:sz w:val="24"/>
          <w:szCs w:val="24"/>
        </w:rPr>
      </w:pPr>
      <w:r w:rsidRPr="005514FC">
        <w:rPr>
          <w:rFonts w:ascii="Times New Roman" w:hAnsi="Times New Roman" w:cs="Times New Roman"/>
          <w:b/>
          <w:color w:val="0D0D0D" w:themeColor="text1" w:themeTint="F2"/>
          <w:sz w:val="24"/>
          <w:szCs w:val="24"/>
        </w:rPr>
        <w:t>RESOLUTION</w:t>
      </w:r>
    </w:p>
    <w:p w14:paraId="5D5B4CA9" w14:textId="77777777" w:rsidR="00672858" w:rsidRPr="005514FC" w:rsidRDefault="00672858" w:rsidP="00672858">
      <w:pPr>
        <w:pStyle w:val="BodyText"/>
        <w:rPr>
          <w:rFonts w:ascii="Times New Roman" w:hAnsi="Times New Roman" w:cs="Times New Roman"/>
          <w:b/>
          <w:color w:val="0D0D0D" w:themeColor="text1" w:themeTint="F2"/>
          <w:sz w:val="24"/>
          <w:szCs w:val="24"/>
        </w:rPr>
      </w:pPr>
    </w:p>
    <w:p w14:paraId="1298D78C" w14:textId="77777777" w:rsidR="00672858" w:rsidRPr="005514FC" w:rsidRDefault="00672858" w:rsidP="00672858">
      <w:pPr>
        <w:tabs>
          <w:tab w:val="left" w:pos="6442"/>
        </w:tabs>
        <w:spacing w:before="242"/>
        <w:ind w:left="1718"/>
        <w:jc w:val="left"/>
        <w:rPr>
          <w:rFonts w:ascii="Times New Roman" w:hAnsi="Times New Roman" w:cs="Times New Roman"/>
          <w:color w:val="0D0D0D" w:themeColor="text1" w:themeTint="F2"/>
          <w:sz w:val="24"/>
          <w:szCs w:val="24"/>
        </w:rPr>
      </w:pPr>
      <w:r w:rsidRPr="005514FC">
        <w:rPr>
          <w:rFonts w:ascii="Times New Roman" w:hAnsi="Times New Roman" w:cs="Times New Roman"/>
          <w:color w:val="0D0D0D" w:themeColor="text1" w:themeTint="F2"/>
          <w:spacing w:val="-1"/>
          <w:w w:val="107"/>
          <w:sz w:val="24"/>
          <w:szCs w:val="24"/>
        </w:rPr>
        <w:t>Firs</w:t>
      </w:r>
      <w:r w:rsidRPr="005514FC">
        <w:rPr>
          <w:rFonts w:ascii="Times New Roman" w:hAnsi="Times New Roman" w:cs="Times New Roman"/>
          <w:color w:val="0D0D0D" w:themeColor="text1" w:themeTint="F2"/>
          <w:w w:val="107"/>
          <w:sz w:val="24"/>
          <w:szCs w:val="24"/>
        </w:rPr>
        <w:t>t</w:t>
      </w:r>
      <w:r w:rsidRPr="005514FC">
        <w:rPr>
          <w:rFonts w:ascii="Times New Roman" w:hAnsi="Times New Roman" w:cs="Times New Roman"/>
          <w:color w:val="0D0D0D" w:themeColor="text1" w:themeTint="F2"/>
          <w:spacing w:val="15"/>
          <w:sz w:val="24"/>
          <w:szCs w:val="24"/>
        </w:rPr>
        <w:t xml:space="preserve"> </w:t>
      </w:r>
      <w:r w:rsidRPr="005514FC">
        <w:rPr>
          <w:rFonts w:ascii="Times New Roman" w:hAnsi="Times New Roman" w:cs="Times New Roman"/>
          <w:color w:val="0D0D0D" w:themeColor="text1" w:themeTint="F2"/>
          <w:spacing w:val="-1"/>
          <w:w w:val="107"/>
          <w:sz w:val="24"/>
          <w:szCs w:val="24"/>
        </w:rPr>
        <w:t>Reading</w:t>
      </w:r>
      <w:r w:rsidRPr="005514FC">
        <w:rPr>
          <w:rFonts w:ascii="Times New Roman" w:hAnsi="Times New Roman" w:cs="Times New Roman"/>
          <w:color w:val="0D0D0D" w:themeColor="text1" w:themeTint="F2"/>
          <w:w w:val="107"/>
          <w:sz w:val="24"/>
          <w:szCs w:val="24"/>
        </w:rPr>
        <w:t>:</w:t>
      </w:r>
      <w:r w:rsidRPr="005514FC">
        <w:rPr>
          <w:rFonts w:ascii="Times New Roman" w:hAnsi="Times New Roman" w:cs="Times New Roman"/>
          <w:color w:val="0D0D0D" w:themeColor="text1" w:themeTint="F2"/>
          <w:spacing w:val="22"/>
          <w:sz w:val="24"/>
          <w:szCs w:val="24"/>
        </w:rPr>
        <w:t xml:space="preserve"> </w:t>
      </w:r>
    </w:p>
    <w:p w14:paraId="0C91DBC5" w14:textId="77777777" w:rsidR="00672858" w:rsidRPr="005514FC" w:rsidRDefault="00672858" w:rsidP="00672858">
      <w:pPr>
        <w:pStyle w:val="BodyText"/>
        <w:spacing w:before="9"/>
        <w:rPr>
          <w:rFonts w:ascii="Times New Roman" w:hAnsi="Times New Roman" w:cs="Times New Roman"/>
          <w:color w:val="0D0D0D" w:themeColor="text1" w:themeTint="F2"/>
          <w:sz w:val="24"/>
          <w:szCs w:val="24"/>
        </w:rPr>
      </w:pPr>
    </w:p>
    <w:p w14:paraId="52A8DA19" w14:textId="77777777" w:rsidR="00672858" w:rsidRPr="005514FC" w:rsidRDefault="00672858" w:rsidP="00672858">
      <w:pPr>
        <w:tabs>
          <w:tab w:val="left" w:pos="8796"/>
        </w:tabs>
        <w:ind w:left="1721"/>
        <w:jc w:val="left"/>
        <w:rPr>
          <w:rFonts w:ascii="Times New Roman" w:hAnsi="Times New Roman" w:cs="Times New Roman"/>
          <w:color w:val="0D0D0D" w:themeColor="text1" w:themeTint="F2"/>
          <w:sz w:val="24"/>
          <w:szCs w:val="24"/>
        </w:rPr>
      </w:pPr>
      <w:r w:rsidRPr="005514FC">
        <w:rPr>
          <w:rFonts w:ascii="Times New Roman" w:hAnsi="Times New Roman" w:cs="Times New Roman"/>
          <w:color w:val="0D0D0D" w:themeColor="text1" w:themeTint="F2"/>
          <w:w w:val="95"/>
          <w:sz w:val="24"/>
          <w:szCs w:val="24"/>
        </w:rPr>
        <w:t>Third Reading/Action (Date): CLI, June 17,2017</w:t>
      </w:r>
      <w:r w:rsidRPr="005514FC">
        <w:rPr>
          <w:rFonts w:ascii="Times New Roman" w:hAnsi="Times New Roman" w:cs="Times New Roman"/>
          <w:color w:val="0D0D0D" w:themeColor="text1" w:themeTint="F2"/>
          <w:w w:val="95"/>
          <w:sz w:val="24"/>
          <w:szCs w:val="24"/>
        </w:rPr>
        <w:tab/>
      </w:r>
      <w:r w:rsidRPr="005514FC">
        <w:rPr>
          <w:rFonts w:ascii="Times New Roman" w:hAnsi="Times New Roman" w:cs="Times New Roman"/>
          <w:color w:val="0D0D0D" w:themeColor="text1" w:themeTint="F2"/>
          <w:sz w:val="24"/>
          <w:szCs w:val="24"/>
        </w:rPr>
        <w:t>Pass/Fail _____</w:t>
      </w:r>
    </w:p>
    <w:p w14:paraId="32C3E080" w14:textId="77777777" w:rsidR="00672858" w:rsidRPr="005514FC" w:rsidRDefault="00672858" w:rsidP="00672858">
      <w:pPr>
        <w:pStyle w:val="BodyText"/>
        <w:rPr>
          <w:rFonts w:ascii="Times New Roman" w:hAnsi="Times New Roman" w:cs="Times New Roman"/>
          <w:color w:val="0D0D0D" w:themeColor="text1" w:themeTint="F2"/>
          <w:sz w:val="24"/>
          <w:szCs w:val="24"/>
        </w:rPr>
      </w:pPr>
    </w:p>
    <w:p w14:paraId="1F886C2A" w14:textId="77777777" w:rsidR="00672858" w:rsidRPr="005514FC" w:rsidRDefault="00672858" w:rsidP="00672858">
      <w:pPr>
        <w:jc w:val="both"/>
        <w:rPr>
          <w:rFonts w:ascii="Times New Roman" w:hAnsi="Times New Roman" w:cs="Times New Roman"/>
          <w:color w:val="0D0D0D" w:themeColor="text1" w:themeTint="F2"/>
          <w:sz w:val="24"/>
          <w:szCs w:val="24"/>
        </w:rPr>
        <w:sectPr w:rsidR="00672858" w:rsidRPr="005514FC" w:rsidSect="00672858">
          <w:pgSz w:w="12240" w:h="15840"/>
          <w:pgMar w:top="0" w:right="100" w:bottom="0" w:left="0" w:header="720" w:footer="720" w:gutter="0"/>
          <w:cols w:space="720"/>
        </w:sectPr>
      </w:pPr>
    </w:p>
    <w:p w14:paraId="4FAA3CAE" w14:textId="77777777" w:rsidR="00672858" w:rsidRPr="005514FC" w:rsidRDefault="00672858" w:rsidP="00672858">
      <w:pPr>
        <w:pStyle w:val="BodyText"/>
        <w:spacing w:before="6"/>
        <w:rPr>
          <w:rFonts w:ascii="Times New Roman" w:hAnsi="Times New Roman" w:cs="Times New Roman"/>
          <w:color w:val="0D0D0D" w:themeColor="text1" w:themeTint="F2"/>
          <w:sz w:val="24"/>
          <w:szCs w:val="24"/>
        </w:rPr>
      </w:pPr>
    </w:p>
    <w:p w14:paraId="50E6CC9B" w14:textId="566D2016" w:rsidR="00672858" w:rsidRPr="005514FC" w:rsidRDefault="00580C03" w:rsidP="00672858">
      <w:pPr>
        <w:pStyle w:val="BodyText"/>
        <w:ind w:left="1724" w:right="-7865"/>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w w:val="105"/>
          <w:sz w:val="24"/>
          <w:szCs w:val="24"/>
        </w:rPr>
        <w:t>RESOLUTION</w:t>
      </w:r>
      <w:bookmarkStart w:id="0" w:name="_GoBack"/>
      <w:bookmarkEnd w:id="0"/>
      <w:r>
        <w:rPr>
          <w:rFonts w:ascii="Times New Roman" w:hAnsi="Times New Roman" w:cs="Times New Roman"/>
          <w:color w:val="0D0D0D" w:themeColor="text1" w:themeTint="F2"/>
          <w:w w:val="105"/>
          <w:sz w:val="24"/>
          <w:szCs w:val="24"/>
        </w:rPr>
        <w:t>: 2017-02</w:t>
      </w:r>
    </w:p>
    <w:p w14:paraId="414437A4" w14:textId="77777777" w:rsidR="00672858" w:rsidRPr="005514FC" w:rsidRDefault="00672858" w:rsidP="00672858">
      <w:pPr>
        <w:pStyle w:val="BodyText"/>
        <w:spacing w:before="10"/>
        <w:rPr>
          <w:rFonts w:ascii="Times New Roman" w:hAnsi="Times New Roman" w:cs="Times New Roman"/>
          <w:color w:val="0D0D0D" w:themeColor="text1" w:themeTint="F2"/>
          <w:sz w:val="24"/>
          <w:szCs w:val="24"/>
        </w:rPr>
      </w:pPr>
    </w:p>
    <w:p w14:paraId="312CBA8E" w14:textId="0AA3E0D0" w:rsidR="00672858" w:rsidRPr="005514FC" w:rsidRDefault="00672858" w:rsidP="00672858">
      <w:pPr>
        <w:ind w:left="1710"/>
        <w:jc w:val="left"/>
        <w:rPr>
          <w:sz w:val="24"/>
          <w:szCs w:val="24"/>
        </w:rPr>
      </w:pPr>
      <w:r w:rsidRPr="005514FC">
        <w:rPr>
          <w:rFonts w:ascii="Times New Roman" w:hAnsi="Times New Roman" w:cs="Times New Roman"/>
          <w:color w:val="0D0D0D" w:themeColor="text1" w:themeTint="F2"/>
          <w:w w:val="105"/>
          <w:sz w:val="24"/>
          <w:szCs w:val="24"/>
        </w:rPr>
        <w:t xml:space="preserve">Subject: </w:t>
      </w:r>
      <w:r w:rsidRPr="005514FC">
        <w:rPr>
          <w:sz w:val="24"/>
          <w:szCs w:val="24"/>
        </w:rPr>
        <w:t>the establishment of a semi-annual plenary session for Classified Senates at the state level</w:t>
      </w:r>
    </w:p>
    <w:p w14:paraId="4B06AE64" w14:textId="0A3BBF76" w:rsidR="00672858" w:rsidRPr="005514FC" w:rsidRDefault="00672858" w:rsidP="00672858">
      <w:pPr>
        <w:pStyle w:val="BodyText"/>
        <w:ind w:left="1725"/>
        <w:rPr>
          <w:rFonts w:ascii="Times New Roman" w:hAnsi="Times New Roman" w:cs="Times New Roman"/>
          <w:color w:val="0D0D0D" w:themeColor="text1" w:themeTint="F2"/>
          <w:w w:val="105"/>
          <w:sz w:val="24"/>
          <w:szCs w:val="24"/>
        </w:rPr>
      </w:pPr>
    </w:p>
    <w:p w14:paraId="4CF93391" w14:textId="73E70DFD" w:rsidR="00672858" w:rsidRPr="005514FC" w:rsidRDefault="00672858" w:rsidP="00672858">
      <w:pPr>
        <w:pStyle w:val="BodyText"/>
        <w:spacing w:before="93" w:line="520" w:lineRule="auto"/>
        <w:ind w:right="-8294" w:firstLine="1710"/>
        <w:rPr>
          <w:rFonts w:ascii="Times New Roman" w:hAnsi="Times New Roman" w:cs="Times New Roman"/>
          <w:color w:val="0D0D0D" w:themeColor="text1" w:themeTint="F2"/>
          <w:w w:val="105"/>
          <w:sz w:val="24"/>
          <w:szCs w:val="24"/>
        </w:rPr>
      </w:pPr>
      <w:r w:rsidRPr="005514FC">
        <w:rPr>
          <w:rFonts w:ascii="Times New Roman" w:hAnsi="Times New Roman" w:cs="Times New Roman"/>
          <w:color w:val="0D0D0D" w:themeColor="text1" w:themeTint="F2"/>
          <w:w w:val="105"/>
          <w:sz w:val="24"/>
          <w:szCs w:val="24"/>
        </w:rPr>
        <w:t>Mover:  Neill Kovrig, San Diego Community College District</w:t>
      </w:r>
    </w:p>
    <w:p w14:paraId="0EE754EA" w14:textId="25CEAE68" w:rsidR="00672858" w:rsidRPr="005514FC" w:rsidRDefault="00672858" w:rsidP="00672858">
      <w:pPr>
        <w:ind w:firstLine="1710"/>
        <w:jc w:val="both"/>
        <w:rPr>
          <w:i/>
          <w:sz w:val="24"/>
          <w:szCs w:val="24"/>
        </w:rPr>
      </w:pPr>
      <w:r w:rsidRPr="005514FC">
        <w:rPr>
          <w:sz w:val="24"/>
          <w:szCs w:val="24"/>
        </w:rPr>
        <w:t xml:space="preserve">RESOLUTION </w:t>
      </w:r>
    </w:p>
    <w:p w14:paraId="5BB14FE6" w14:textId="77777777" w:rsidR="00672858" w:rsidRPr="005514FC" w:rsidRDefault="00672858" w:rsidP="00672858">
      <w:pPr>
        <w:rPr>
          <w:i/>
          <w:sz w:val="24"/>
          <w:szCs w:val="24"/>
        </w:rPr>
      </w:pPr>
    </w:p>
    <w:p w14:paraId="3C5321EA" w14:textId="77777777" w:rsidR="00672858" w:rsidRPr="005514FC" w:rsidRDefault="00672858" w:rsidP="00672858">
      <w:pPr>
        <w:rPr>
          <w:sz w:val="24"/>
          <w:szCs w:val="24"/>
        </w:rPr>
      </w:pPr>
    </w:p>
    <w:p w14:paraId="0505A4F3" w14:textId="4495B799" w:rsidR="00672858" w:rsidRPr="005514FC" w:rsidRDefault="00672858" w:rsidP="00672858">
      <w:pPr>
        <w:ind w:left="1710"/>
        <w:jc w:val="left"/>
        <w:rPr>
          <w:sz w:val="24"/>
          <w:szCs w:val="24"/>
        </w:rPr>
      </w:pPr>
      <w:r w:rsidRPr="005514FC">
        <w:rPr>
          <w:b/>
          <w:sz w:val="24"/>
          <w:szCs w:val="24"/>
        </w:rPr>
        <w:t>WHEREAS,</w:t>
      </w:r>
      <w:r w:rsidRPr="005514FC">
        <w:rPr>
          <w:sz w:val="24"/>
          <w:szCs w:val="24"/>
        </w:rPr>
        <w:t xml:space="preserve"> the vitality of an organization is borne of its active and participatory membership; and</w:t>
      </w:r>
    </w:p>
    <w:p w14:paraId="3EB140B3" w14:textId="77777777" w:rsidR="00672858" w:rsidRPr="005514FC" w:rsidRDefault="00672858" w:rsidP="00672858">
      <w:pPr>
        <w:ind w:left="1710"/>
        <w:jc w:val="left"/>
        <w:rPr>
          <w:sz w:val="24"/>
          <w:szCs w:val="24"/>
        </w:rPr>
      </w:pPr>
    </w:p>
    <w:p w14:paraId="4DEDA976" w14:textId="77777777" w:rsidR="00672858" w:rsidRPr="005514FC" w:rsidRDefault="00672858" w:rsidP="00672858">
      <w:pPr>
        <w:ind w:left="1710"/>
        <w:jc w:val="left"/>
        <w:rPr>
          <w:sz w:val="24"/>
          <w:szCs w:val="24"/>
        </w:rPr>
      </w:pPr>
      <w:r w:rsidRPr="005514FC">
        <w:rPr>
          <w:b/>
          <w:sz w:val="24"/>
          <w:szCs w:val="24"/>
        </w:rPr>
        <w:t>WHEREAS,</w:t>
      </w:r>
      <w:r w:rsidRPr="005514FC">
        <w:rPr>
          <w:sz w:val="24"/>
          <w:szCs w:val="24"/>
        </w:rPr>
        <w:t xml:space="preserve"> seventy (70) member senates of the California Community Colleges Classified Senate (4CS) exist across the seventy-two (72) districts and one hundred thirteen (113) colleges and institutions of the California Community College system; and</w:t>
      </w:r>
    </w:p>
    <w:p w14:paraId="3C7FEB63" w14:textId="77777777" w:rsidR="00672858" w:rsidRPr="005514FC" w:rsidRDefault="00672858" w:rsidP="00672858">
      <w:pPr>
        <w:ind w:left="1710"/>
        <w:jc w:val="left"/>
        <w:rPr>
          <w:sz w:val="24"/>
          <w:szCs w:val="24"/>
        </w:rPr>
      </w:pPr>
    </w:p>
    <w:p w14:paraId="575378CC" w14:textId="77777777" w:rsidR="00672858" w:rsidRPr="005514FC" w:rsidRDefault="00672858" w:rsidP="00672858">
      <w:pPr>
        <w:ind w:left="1710"/>
        <w:jc w:val="left"/>
        <w:rPr>
          <w:sz w:val="24"/>
          <w:szCs w:val="24"/>
        </w:rPr>
      </w:pPr>
      <w:r w:rsidRPr="005514FC">
        <w:rPr>
          <w:b/>
          <w:sz w:val="24"/>
          <w:szCs w:val="24"/>
        </w:rPr>
        <w:t xml:space="preserve">WHEREAS, </w:t>
      </w:r>
      <w:r w:rsidRPr="005514FC">
        <w:rPr>
          <w:sz w:val="24"/>
          <w:szCs w:val="24"/>
        </w:rPr>
        <w:t>the difficulty in obtaining high levels of participation in the governance of this statewide network of Senates as represented by 4CS is attributable in many ways to the complexity of ensuring that Classified Professionals have the opportunity to attend regular meetings of the Member Senates throughout the year;</w:t>
      </w:r>
    </w:p>
    <w:p w14:paraId="276FAB1E" w14:textId="77777777" w:rsidR="00672858" w:rsidRPr="005514FC" w:rsidRDefault="00672858" w:rsidP="00672858">
      <w:pPr>
        <w:ind w:left="1710"/>
        <w:jc w:val="left"/>
        <w:rPr>
          <w:sz w:val="24"/>
          <w:szCs w:val="24"/>
        </w:rPr>
      </w:pPr>
    </w:p>
    <w:p w14:paraId="7FE2A5CB" w14:textId="77777777" w:rsidR="00672858" w:rsidRPr="005514FC" w:rsidRDefault="00672858" w:rsidP="00672858">
      <w:pPr>
        <w:ind w:left="1710"/>
        <w:jc w:val="left"/>
        <w:rPr>
          <w:sz w:val="24"/>
          <w:szCs w:val="24"/>
        </w:rPr>
      </w:pPr>
      <w:r w:rsidRPr="005514FC">
        <w:rPr>
          <w:b/>
          <w:sz w:val="24"/>
          <w:szCs w:val="24"/>
        </w:rPr>
        <w:t>THEREFORE, BE IT RESOLVED, THAT</w:t>
      </w:r>
      <w:r w:rsidRPr="005514FC">
        <w:rPr>
          <w:sz w:val="24"/>
          <w:szCs w:val="24"/>
        </w:rPr>
        <w:t xml:space="preserve"> the 4CS shall establish a regular, semi-annual, plenary meeting for the Member Senates to conduct business, establish policy, discuss items of mutual and overall concern, and produce and debate Resolutions relative to Classified Professionals throughout the entirety of the California Community College System; and</w:t>
      </w:r>
    </w:p>
    <w:p w14:paraId="45AEA728" w14:textId="77777777" w:rsidR="00672858" w:rsidRPr="005514FC" w:rsidRDefault="00672858" w:rsidP="00672858">
      <w:pPr>
        <w:ind w:left="1710"/>
        <w:jc w:val="left"/>
        <w:rPr>
          <w:sz w:val="24"/>
          <w:szCs w:val="24"/>
        </w:rPr>
      </w:pPr>
    </w:p>
    <w:p w14:paraId="7D5B8616" w14:textId="77777777" w:rsidR="00672858" w:rsidRPr="005514FC" w:rsidRDefault="00672858" w:rsidP="00672858">
      <w:pPr>
        <w:ind w:left="1710"/>
        <w:jc w:val="left"/>
        <w:rPr>
          <w:sz w:val="24"/>
          <w:szCs w:val="24"/>
        </w:rPr>
      </w:pPr>
      <w:r w:rsidRPr="005514FC">
        <w:rPr>
          <w:b/>
          <w:sz w:val="24"/>
          <w:szCs w:val="24"/>
        </w:rPr>
        <w:t>BE IT FURTHER RESOLVED, THAT</w:t>
      </w:r>
      <w:r w:rsidRPr="005514FC">
        <w:rPr>
          <w:sz w:val="24"/>
          <w:szCs w:val="24"/>
        </w:rPr>
        <w:t xml:space="preserve"> the 4CS calls upon its sister organizations throughout the State, especially the Academic Senate for the California Community Colleges and the Student Senate for the California Community Colleges, as well as the various Unions whose members include those same Professionals represented by the Member Senates, to support and endorse this Resolution, insofar as they are able to, before the competent authorities of the Consultation Council and the Board of Governors, as a show of support for the establishment of regular participation by Classified Professionals in statewide matters of shared governance; and</w:t>
      </w:r>
    </w:p>
    <w:p w14:paraId="2F4BEC30" w14:textId="77777777" w:rsidR="00672858" w:rsidRPr="005514FC" w:rsidRDefault="00672858" w:rsidP="00672858">
      <w:pPr>
        <w:ind w:left="1710"/>
        <w:jc w:val="left"/>
        <w:rPr>
          <w:sz w:val="24"/>
          <w:szCs w:val="24"/>
        </w:rPr>
      </w:pPr>
    </w:p>
    <w:p w14:paraId="2BD1A362" w14:textId="77777777" w:rsidR="00672858" w:rsidRPr="005514FC" w:rsidRDefault="00672858" w:rsidP="00672858">
      <w:pPr>
        <w:ind w:left="1710"/>
        <w:jc w:val="left"/>
        <w:rPr>
          <w:sz w:val="24"/>
          <w:szCs w:val="24"/>
        </w:rPr>
      </w:pPr>
      <w:r w:rsidRPr="005514FC">
        <w:rPr>
          <w:b/>
          <w:sz w:val="24"/>
          <w:szCs w:val="24"/>
        </w:rPr>
        <w:t>BE IT FINALLY RESOLVED, THAT</w:t>
      </w:r>
      <w:r w:rsidRPr="005514FC">
        <w:rPr>
          <w:sz w:val="24"/>
          <w:szCs w:val="24"/>
        </w:rPr>
        <w:t xml:space="preserve"> the 4CS encourages the identification of financial resources at the local and state level to provide for the participation and attendance of at least one (1) delegate from each Member Senate of the organization in any and all plenary meetings that may be so established by the Board.</w:t>
      </w:r>
    </w:p>
    <w:p w14:paraId="0EB0B30D" w14:textId="77777777" w:rsidR="00672858" w:rsidRPr="005514FC" w:rsidRDefault="00672858" w:rsidP="00672858">
      <w:pPr>
        <w:ind w:left="1710"/>
        <w:jc w:val="left"/>
        <w:rPr>
          <w:sz w:val="24"/>
          <w:szCs w:val="24"/>
        </w:rPr>
      </w:pPr>
    </w:p>
    <w:p w14:paraId="29C5C5C7" w14:textId="2475C025" w:rsidR="00672858" w:rsidRPr="005514FC" w:rsidRDefault="00672858" w:rsidP="00672858">
      <w:pPr>
        <w:pStyle w:val="BodyText"/>
        <w:rPr>
          <w:rFonts w:ascii="Times New Roman" w:hAnsi="Times New Roman" w:cs="Times New Roman"/>
          <w:color w:val="0D0D0D" w:themeColor="text1" w:themeTint="F2"/>
          <w:sz w:val="24"/>
          <w:szCs w:val="24"/>
        </w:rPr>
        <w:sectPr w:rsidR="00672858" w:rsidRPr="005514FC" w:rsidSect="0027739E">
          <w:type w:val="continuous"/>
          <w:pgSz w:w="12240" w:h="15840"/>
          <w:pgMar w:top="0" w:right="100" w:bottom="0" w:left="0" w:header="720" w:footer="720" w:gutter="0"/>
          <w:cols w:num="2" w:space="720" w:equalWidth="0">
            <w:col w:w="11050" w:space="40"/>
            <w:col w:w="1050"/>
          </w:cols>
        </w:sectPr>
      </w:pPr>
    </w:p>
    <w:p w14:paraId="16F5E87F" w14:textId="77777777" w:rsidR="00672858" w:rsidRPr="005514FC" w:rsidRDefault="00672858" w:rsidP="00672858">
      <w:pPr>
        <w:jc w:val="both"/>
        <w:rPr>
          <w:rFonts w:ascii="Times New Roman" w:hAnsi="Times New Roman" w:cs="Times New Roman"/>
          <w:color w:val="0D0D0D" w:themeColor="text1" w:themeTint="F2"/>
          <w:sz w:val="24"/>
          <w:szCs w:val="24"/>
        </w:rPr>
        <w:sectPr w:rsidR="00672858" w:rsidRPr="005514FC">
          <w:type w:val="continuous"/>
          <w:pgSz w:w="12240" w:h="15840"/>
          <w:pgMar w:top="0" w:right="100" w:bottom="0" w:left="0" w:header="720" w:footer="720" w:gutter="0"/>
          <w:cols w:space="720"/>
        </w:sectPr>
      </w:pPr>
    </w:p>
    <w:p w14:paraId="55790BFC" w14:textId="77777777" w:rsidR="007D543A" w:rsidRPr="005514FC" w:rsidRDefault="007D543A" w:rsidP="007D543A">
      <w:pPr>
        <w:jc w:val="left"/>
        <w:rPr>
          <w:sz w:val="24"/>
          <w:szCs w:val="24"/>
        </w:rPr>
      </w:pPr>
    </w:p>
    <w:sectPr w:rsidR="007D543A" w:rsidRPr="00551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3A"/>
    <w:rsid w:val="005514FC"/>
    <w:rsid w:val="00580C03"/>
    <w:rsid w:val="005C50AE"/>
    <w:rsid w:val="0062417B"/>
    <w:rsid w:val="00672858"/>
    <w:rsid w:val="007A5F36"/>
    <w:rsid w:val="007D543A"/>
    <w:rsid w:val="007E3A9D"/>
    <w:rsid w:val="007E3D43"/>
    <w:rsid w:val="00802B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7E2B"/>
  <w15:chartTrackingRefBased/>
  <w15:docId w15:val="{361DBABD-CD53-461C-9F67-50D8A71E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2858"/>
    <w:pPr>
      <w:widowControl w:val="0"/>
      <w:autoSpaceDE w:val="0"/>
      <w:autoSpaceDN w:val="0"/>
      <w:jc w:val="left"/>
    </w:pPr>
    <w:rPr>
      <w:rFonts w:ascii="Arial" w:eastAsia="Arial" w:hAnsi="Arial" w:cs="Arial"/>
      <w:sz w:val="20"/>
      <w:szCs w:val="20"/>
    </w:rPr>
  </w:style>
  <w:style w:type="character" w:customStyle="1" w:styleId="BodyTextChar">
    <w:name w:val="Body Text Char"/>
    <w:basedOn w:val="DefaultParagraphFont"/>
    <w:link w:val="BodyText"/>
    <w:uiPriority w:val="1"/>
    <w:rsid w:val="00672858"/>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nkovrig</dc:creator>
  <cp:keywords/>
  <dc:description/>
  <cp:lastModifiedBy>Microsoft Office User</cp:lastModifiedBy>
  <cp:revision>3</cp:revision>
  <dcterms:created xsi:type="dcterms:W3CDTF">2017-05-11T17:27:00Z</dcterms:created>
  <dcterms:modified xsi:type="dcterms:W3CDTF">2017-05-11T18:47:00Z</dcterms:modified>
</cp:coreProperties>
</file>