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7C22" w14:textId="77777777" w:rsidR="00672858" w:rsidRPr="005514FC" w:rsidRDefault="00672858" w:rsidP="00672858">
      <w:pPr>
        <w:ind w:left="5032" w:right="457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126F9B2" w14:textId="77777777" w:rsidR="00672858" w:rsidRPr="005514FC" w:rsidRDefault="00672858" w:rsidP="00672858">
      <w:pPr>
        <w:ind w:left="5032" w:right="457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F45F73C" w14:textId="77777777" w:rsidR="00672858" w:rsidRPr="005514FC" w:rsidRDefault="00672858" w:rsidP="00672858">
      <w:pPr>
        <w:ind w:left="5032" w:right="457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3EB8507" w14:textId="77777777" w:rsidR="00672858" w:rsidRPr="005514FC" w:rsidRDefault="00672858" w:rsidP="00672858">
      <w:pPr>
        <w:ind w:left="5032" w:right="457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514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RESOLUTION</w:t>
      </w:r>
    </w:p>
    <w:p w14:paraId="5D5B4CA9" w14:textId="77777777" w:rsidR="00672858" w:rsidRPr="005514FC" w:rsidRDefault="00672858" w:rsidP="00672858">
      <w:pPr>
        <w:pStyle w:val="BodyTex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1298D78C" w14:textId="77777777" w:rsidR="00672858" w:rsidRPr="005514FC" w:rsidRDefault="00672858" w:rsidP="00672858">
      <w:pPr>
        <w:tabs>
          <w:tab w:val="left" w:pos="6442"/>
        </w:tabs>
        <w:spacing w:before="242"/>
        <w:ind w:left="1718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spacing w:val="-1"/>
          <w:w w:val="107"/>
          <w:sz w:val="24"/>
          <w:szCs w:val="24"/>
        </w:rPr>
        <w:t>Firs</w:t>
      </w:r>
      <w:r w:rsidRPr="005514FC">
        <w:rPr>
          <w:rFonts w:ascii="Times New Roman" w:hAnsi="Times New Roman" w:cs="Times New Roman"/>
          <w:color w:val="0D0D0D" w:themeColor="text1" w:themeTint="F2"/>
          <w:w w:val="107"/>
          <w:sz w:val="24"/>
          <w:szCs w:val="24"/>
        </w:rPr>
        <w:t>t</w:t>
      </w:r>
      <w:r w:rsidRPr="005514FC">
        <w:rPr>
          <w:rFonts w:ascii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5514FC">
        <w:rPr>
          <w:rFonts w:ascii="Times New Roman" w:hAnsi="Times New Roman" w:cs="Times New Roman"/>
          <w:color w:val="0D0D0D" w:themeColor="text1" w:themeTint="F2"/>
          <w:spacing w:val="-1"/>
          <w:w w:val="107"/>
          <w:sz w:val="24"/>
          <w:szCs w:val="24"/>
        </w:rPr>
        <w:t>Reading</w:t>
      </w:r>
      <w:r w:rsidRPr="005514FC">
        <w:rPr>
          <w:rFonts w:ascii="Times New Roman" w:hAnsi="Times New Roman" w:cs="Times New Roman"/>
          <w:color w:val="0D0D0D" w:themeColor="text1" w:themeTint="F2"/>
          <w:w w:val="107"/>
          <w:sz w:val="24"/>
          <w:szCs w:val="24"/>
        </w:rPr>
        <w:t>:</w:t>
      </w:r>
      <w:r w:rsidRPr="005514FC">
        <w:rPr>
          <w:rFonts w:ascii="Times New Roman" w:hAnsi="Times New Roman" w:cs="Times New Roman"/>
          <w:color w:val="0D0D0D" w:themeColor="text1" w:themeTint="F2"/>
          <w:spacing w:val="22"/>
          <w:sz w:val="24"/>
          <w:szCs w:val="24"/>
        </w:rPr>
        <w:t xml:space="preserve"> </w:t>
      </w:r>
    </w:p>
    <w:p w14:paraId="0C91DBC5" w14:textId="77777777" w:rsidR="00672858" w:rsidRPr="005514FC" w:rsidRDefault="00672858" w:rsidP="00672858">
      <w:pPr>
        <w:pStyle w:val="BodyText"/>
        <w:spacing w:before="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2A8DA19" w14:textId="1A199FDB" w:rsidR="00672858" w:rsidRPr="005514FC" w:rsidRDefault="00672858" w:rsidP="00672858">
      <w:pPr>
        <w:tabs>
          <w:tab w:val="left" w:pos="8796"/>
        </w:tabs>
        <w:ind w:left="1721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Third Rea</w:t>
      </w:r>
      <w:r w:rsidR="00CA344C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ding/Action (Date): CLI, June 17</w:t>
      </w:r>
      <w:r w:rsidRPr="005514FC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,2017</w:t>
      </w:r>
      <w:r w:rsidRPr="005514FC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ab/>
      </w:r>
      <w:r w:rsidRPr="005514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Pass/Fail _____</w:t>
      </w:r>
    </w:p>
    <w:p w14:paraId="32C3E080" w14:textId="77777777" w:rsidR="00672858" w:rsidRPr="005514FC" w:rsidRDefault="00672858" w:rsidP="00672858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F886C2A" w14:textId="77777777" w:rsidR="00672858" w:rsidRPr="005514FC" w:rsidRDefault="00672858" w:rsidP="00672858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672858" w:rsidRPr="005514FC" w:rsidSect="00672858">
          <w:pgSz w:w="12240" w:h="15840"/>
          <w:pgMar w:top="0" w:right="100" w:bottom="0" w:left="0" w:header="720" w:footer="720" w:gutter="0"/>
          <w:cols w:space="720"/>
        </w:sectPr>
      </w:pPr>
    </w:p>
    <w:p w14:paraId="4FAA3CAE" w14:textId="77777777" w:rsidR="00672858" w:rsidRPr="005514FC" w:rsidRDefault="00672858" w:rsidP="00672858">
      <w:pPr>
        <w:pStyle w:val="BodyText"/>
        <w:spacing w:before="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0E6CC9B" w14:textId="79E43763" w:rsidR="00672858" w:rsidRPr="005514FC" w:rsidRDefault="00672858" w:rsidP="00672858">
      <w:pPr>
        <w:pStyle w:val="BodyText"/>
        <w:ind w:left="1724" w:right="-786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RESOLUTION</w:t>
      </w:r>
      <w:r w:rsidR="006251D3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: 2017-03</w:t>
      </w:r>
      <w:bookmarkStart w:id="0" w:name="_GoBack"/>
      <w:bookmarkEnd w:id="0"/>
    </w:p>
    <w:p w14:paraId="414437A4" w14:textId="77777777" w:rsidR="00672858" w:rsidRPr="005514FC" w:rsidRDefault="00672858" w:rsidP="00672858">
      <w:pPr>
        <w:pStyle w:val="BodyText"/>
        <w:spacing w:before="1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12CBA8E" w14:textId="5987BAA7" w:rsidR="00672858" w:rsidRPr="005514FC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Subject</w:t>
      </w:r>
      <w:r w:rsidR="004B3DA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: Participation in the accreditation process by classified professionals</w:t>
      </w:r>
    </w:p>
    <w:p w14:paraId="4B06AE64" w14:textId="0A3BBF76" w:rsidR="00672858" w:rsidRPr="005514FC" w:rsidRDefault="00672858" w:rsidP="00672858">
      <w:pPr>
        <w:pStyle w:val="BodyText"/>
        <w:ind w:left="1725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</w:p>
    <w:p w14:paraId="4CF93391" w14:textId="1950CD21" w:rsidR="00672858" w:rsidRPr="005514FC" w:rsidRDefault="00672858" w:rsidP="00672858">
      <w:pPr>
        <w:pStyle w:val="BodyText"/>
        <w:spacing w:before="93" w:line="520" w:lineRule="auto"/>
        <w:ind w:right="-8294" w:firstLine="1710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Mover:  </w:t>
      </w:r>
      <w:r w:rsidR="004B3DA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4CS Resolutions Committee</w:t>
      </w:r>
    </w:p>
    <w:p w14:paraId="0EE754EA" w14:textId="25CEAE68" w:rsidR="00672858" w:rsidRPr="005514FC" w:rsidRDefault="00672858" w:rsidP="00672858">
      <w:pPr>
        <w:ind w:firstLine="1710"/>
        <w:jc w:val="both"/>
        <w:rPr>
          <w:i/>
          <w:sz w:val="24"/>
          <w:szCs w:val="24"/>
        </w:rPr>
      </w:pPr>
      <w:r w:rsidRPr="005514FC">
        <w:rPr>
          <w:sz w:val="24"/>
          <w:szCs w:val="24"/>
        </w:rPr>
        <w:t xml:space="preserve">RESOLUTION </w:t>
      </w:r>
    </w:p>
    <w:p w14:paraId="5BB14FE6" w14:textId="77777777" w:rsidR="00672858" w:rsidRPr="005514FC" w:rsidRDefault="00672858" w:rsidP="00672858">
      <w:pPr>
        <w:rPr>
          <w:i/>
          <w:sz w:val="24"/>
          <w:szCs w:val="24"/>
        </w:rPr>
      </w:pPr>
    </w:p>
    <w:p w14:paraId="3C5321EA" w14:textId="77777777" w:rsidR="00672858" w:rsidRPr="005514FC" w:rsidRDefault="00672858" w:rsidP="00672858">
      <w:pPr>
        <w:rPr>
          <w:sz w:val="24"/>
          <w:szCs w:val="24"/>
        </w:rPr>
      </w:pPr>
    </w:p>
    <w:p w14:paraId="0505A4F3" w14:textId="0E6EE6EC" w:rsidR="00672858" w:rsidRPr="005514FC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b/>
          <w:sz w:val="24"/>
          <w:szCs w:val="24"/>
        </w:rPr>
        <w:t>WHEREAS,</w:t>
      </w:r>
      <w:r w:rsidRPr="005514FC">
        <w:rPr>
          <w:sz w:val="24"/>
          <w:szCs w:val="24"/>
        </w:rPr>
        <w:t xml:space="preserve"> </w:t>
      </w:r>
      <w:r w:rsidR="004B3DAE">
        <w:rPr>
          <w:sz w:val="24"/>
          <w:szCs w:val="24"/>
        </w:rPr>
        <w:t>classified professionals across the 113 Calfiornia Community College system participate in accreditation duties and assign</w:t>
      </w:r>
      <w:r w:rsidR="00CA344C">
        <w:rPr>
          <w:sz w:val="24"/>
          <w:szCs w:val="24"/>
        </w:rPr>
        <w:t>ments but are not offered consistent and adequate training in above-mentioned duties and assignments</w:t>
      </w:r>
      <w:r w:rsidR="004B3DAE">
        <w:rPr>
          <w:sz w:val="24"/>
          <w:szCs w:val="24"/>
        </w:rPr>
        <w:t>, and</w:t>
      </w:r>
    </w:p>
    <w:p w14:paraId="3EB140B3" w14:textId="77777777" w:rsidR="00672858" w:rsidRPr="005514FC" w:rsidRDefault="00672858" w:rsidP="00672858">
      <w:pPr>
        <w:ind w:left="1710"/>
        <w:jc w:val="left"/>
        <w:rPr>
          <w:sz w:val="24"/>
          <w:szCs w:val="24"/>
        </w:rPr>
      </w:pPr>
    </w:p>
    <w:p w14:paraId="4DEDA976" w14:textId="2BAD77E0" w:rsidR="00672858" w:rsidRPr="005514FC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b/>
          <w:sz w:val="24"/>
          <w:szCs w:val="24"/>
        </w:rPr>
        <w:t>WHEREAS,</w:t>
      </w:r>
      <w:r w:rsidRPr="005514FC">
        <w:rPr>
          <w:sz w:val="24"/>
          <w:szCs w:val="24"/>
        </w:rPr>
        <w:t xml:space="preserve"> </w:t>
      </w:r>
      <w:r w:rsidR="004B3DAE">
        <w:rPr>
          <w:sz w:val="24"/>
          <w:szCs w:val="24"/>
        </w:rPr>
        <w:t xml:space="preserve">all of the accreditation standards are </w:t>
      </w:r>
      <w:r w:rsidR="00CA344C">
        <w:rPr>
          <w:sz w:val="24"/>
          <w:szCs w:val="24"/>
        </w:rPr>
        <w:t xml:space="preserve">highly </w:t>
      </w:r>
      <w:r w:rsidR="004B3DAE">
        <w:rPr>
          <w:sz w:val="24"/>
          <w:szCs w:val="24"/>
        </w:rPr>
        <w:t>applicable to classified pr</w:t>
      </w:r>
      <w:r w:rsidR="00CA344C">
        <w:rPr>
          <w:sz w:val="24"/>
          <w:szCs w:val="24"/>
        </w:rPr>
        <w:t>ofessionals</w:t>
      </w:r>
      <w:r w:rsidR="004B3DAE">
        <w:rPr>
          <w:sz w:val="24"/>
          <w:szCs w:val="24"/>
        </w:rPr>
        <w:t>, and</w:t>
      </w:r>
    </w:p>
    <w:p w14:paraId="3C7FEB63" w14:textId="77777777" w:rsidR="00672858" w:rsidRPr="005514FC" w:rsidRDefault="00672858" w:rsidP="00672858">
      <w:pPr>
        <w:ind w:left="1710"/>
        <w:jc w:val="left"/>
        <w:rPr>
          <w:sz w:val="24"/>
          <w:szCs w:val="24"/>
        </w:rPr>
      </w:pPr>
    </w:p>
    <w:p w14:paraId="575378CC" w14:textId="3DDB55C3" w:rsidR="00672858" w:rsidRPr="004B3DAE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b/>
          <w:sz w:val="24"/>
          <w:szCs w:val="24"/>
        </w:rPr>
        <w:t xml:space="preserve">WHEREAS, </w:t>
      </w:r>
      <w:r w:rsidR="004B3DAE">
        <w:rPr>
          <w:sz w:val="24"/>
          <w:szCs w:val="24"/>
        </w:rPr>
        <w:t xml:space="preserve">classified professionals are committed to the institutional success of our colleges and our students, </w:t>
      </w:r>
    </w:p>
    <w:p w14:paraId="276FAB1E" w14:textId="77777777" w:rsidR="00672858" w:rsidRPr="005514FC" w:rsidRDefault="00672858" w:rsidP="00672858">
      <w:pPr>
        <w:ind w:left="1710"/>
        <w:jc w:val="left"/>
        <w:rPr>
          <w:sz w:val="24"/>
          <w:szCs w:val="24"/>
        </w:rPr>
      </w:pPr>
    </w:p>
    <w:p w14:paraId="7FE2A5CB" w14:textId="38DC8625" w:rsidR="00672858" w:rsidRPr="005514FC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b/>
          <w:sz w:val="24"/>
          <w:szCs w:val="24"/>
        </w:rPr>
        <w:t>THEREFORE, BE IT RESOLVED, THAT</w:t>
      </w:r>
      <w:r w:rsidRPr="005514FC">
        <w:rPr>
          <w:sz w:val="24"/>
          <w:szCs w:val="24"/>
        </w:rPr>
        <w:t xml:space="preserve"> </w:t>
      </w:r>
      <w:r w:rsidR="004B3DAE">
        <w:rPr>
          <w:sz w:val="24"/>
          <w:szCs w:val="24"/>
        </w:rPr>
        <w:t>the 4CS advocate for systemic engagement of classified professionals in</w:t>
      </w:r>
      <w:r w:rsidR="00CA344C">
        <w:rPr>
          <w:sz w:val="24"/>
          <w:szCs w:val="24"/>
        </w:rPr>
        <w:t xml:space="preserve"> accreditation</w:t>
      </w:r>
      <w:r w:rsidR="004B3DAE">
        <w:rPr>
          <w:sz w:val="24"/>
          <w:szCs w:val="24"/>
        </w:rPr>
        <w:t xml:space="preserve"> training and participation across all colleges by the Calfiornia Community Colleges Office of the Chancellor and the designated accrediting agencies.</w:t>
      </w:r>
    </w:p>
    <w:p w14:paraId="7D5B8616" w14:textId="41E9EDC5" w:rsidR="00672858" w:rsidRPr="005514FC" w:rsidRDefault="00672858" w:rsidP="004B3DAE">
      <w:pPr>
        <w:jc w:val="left"/>
        <w:rPr>
          <w:sz w:val="24"/>
          <w:szCs w:val="24"/>
        </w:rPr>
      </w:pPr>
    </w:p>
    <w:p w14:paraId="2F4BEC30" w14:textId="77777777" w:rsidR="00672858" w:rsidRPr="005514FC" w:rsidRDefault="00672858" w:rsidP="00672858">
      <w:pPr>
        <w:ind w:left="1710"/>
        <w:jc w:val="left"/>
        <w:rPr>
          <w:sz w:val="24"/>
          <w:szCs w:val="24"/>
        </w:rPr>
      </w:pPr>
    </w:p>
    <w:p w14:paraId="29C5C5C7" w14:textId="79C9AC37" w:rsidR="00672858" w:rsidRPr="001206D6" w:rsidRDefault="00672858" w:rsidP="001206D6">
      <w:pPr>
        <w:ind w:left="1710"/>
        <w:jc w:val="left"/>
        <w:rPr>
          <w:sz w:val="24"/>
          <w:szCs w:val="24"/>
        </w:rPr>
        <w:sectPr w:rsidR="00672858" w:rsidRPr="001206D6" w:rsidSect="0027739E">
          <w:type w:val="continuous"/>
          <w:pgSz w:w="12240" w:h="15840"/>
          <w:pgMar w:top="0" w:right="100" w:bottom="0" w:left="0" w:header="720" w:footer="720" w:gutter="0"/>
          <w:cols w:num="2" w:space="720" w:equalWidth="0">
            <w:col w:w="11050" w:space="40"/>
            <w:col w:w="1050"/>
          </w:cols>
        </w:sectPr>
      </w:pPr>
      <w:r w:rsidRPr="005514FC">
        <w:rPr>
          <w:b/>
          <w:sz w:val="24"/>
          <w:szCs w:val="24"/>
        </w:rPr>
        <w:t>BE IT FINALLY R</w:t>
      </w:r>
    </w:p>
    <w:p w14:paraId="16F5E87F" w14:textId="77777777" w:rsidR="00672858" w:rsidRPr="005514FC" w:rsidRDefault="00672858" w:rsidP="00672858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672858" w:rsidRPr="005514FC">
          <w:type w:val="continuous"/>
          <w:pgSz w:w="12240" w:h="15840"/>
          <w:pgMar w:top="0" w:right="100" w:bottom="0" w:left="0" w:header="720" w:footer="720" w:gutter="0"/>
          <w:cols w:space="720"/>
        </w:sectPr>
      </w:pPr>
    </w:p>
    <w:p w14:paraId="55790BFC" w14:textId="77777777" w:rsidR="007D543A" w:rsidRPr="005514FC" w:rsidRDefault="007D543A" w:rsidP="007D543A">
      <w:pPr>
        <w:jc w:val="left"/>
        <w:rPr>
          <w:sz w:val="24"/>
          <w:szCs w:val="24"/>
        </w:rPr>
      </w:pPr>
    </w:p>
    <w:sectPr w:rsidR="007D543A" w:rsidRPr="0055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3A"/>
    <w:rsid w:val="001206D6"/>
    <w:rsid w:val="003C79B0"/>
    <w:rsid w:val="00434673"/>
    <w:rsid w:val="004B3DAE"/>
    <w:rsid w:val="005514FC"/>
    <w:rsid w:val="006251D3"/>
    <w:rsid w:val="00672858"/>
    <w:rsid w:val="007A5F36"/>
    <w:rsid w:val="007D543A"/>
    <w:rsid w:val="007E3A9D"/>
    <w:rsid w:val="007E3D43"/>
    <w:rsid w:val="00802BDC"/>
    <w:rsid w:val="00C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7E2B"/>
  <w15:chartTrackingRefBased/>
  <w15:docId w15:val="{361DBABD-CD53-461C-9F67-50D8A71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2858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2858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nkovrig</dc:creator>
  <cp:keywords/>
  <dc:description/>
  <cp:lastModifiedBy>Microsoft Office User</cp:lastModifiedBy>
  <cp:revision>4</cp:revision>
  <dcterms:created xsi:type="dcterms:W3CDTF">2017-05-11T17:08:00Z</dcterms:created>
  <dcterms:modified xsi:type="dcterms:W3CDTF">2017-05-11T18:47:00Z</dcterms:modified>
</cp:coreProperties>
</file>